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3C2" w:rsidRPr="00FE23C2" w:rsidRDefault="00FE23C2" w:rsidP="00253424">
      <w:pPr>
        <w:spacing w:before="100" w:beforeAutospacing="1" w:after="100" w:afterAutospacing="1" w:line="240" w:lineRule="auto"/>
        <w:jc w:val="both"/>
        <w:rPr>
          <w:rFonts w:eastAsia="Times New Roman" w:cstheme="minorHAnsi"/>
          <w:b/>
          <w:bCs/>
          <w:szCs w:val="22"/>
          <w:lang w:eastAsia="en-IN"/>
        </w:rPr>
      </w:pPr>
      <w:r w:rsidRPr="00FE23C2">
        <w:rPr>
          <w:rFonts w:eastAsia="Times New Roman" w:cstheme="minorHAnsi"/>
          <w:b/>
          <w:bCs/>
          <w:szCs w:val="22"/>
          <w:lang w:eastAsia="en-IN"/>
        </w:rPr>
        <w:t xml:space="preserve">PORTABILIY </w:t>
      </w:r>
    </w:p>
    <w:p w:rsidR="00F139D6" w:rsidRPr="00F139D6" w:rsidRDefault="00F139D6" w:rsidP="00253424">
      <w:pPr>
        <w:spacing w:before="100" w:beforeAutospacing="1" w:after="100" w:afterAutospacing="1" w:line="240" w:lineRule="auto"/>
        <w:jc w:val="both"/>
        <w:rPr>
          <w:rFonts w:eastAsia="Times New Roman" w:cstheme="minorHAnsi"/>
          <w:szCs w:val="22"/>
          <w:lang w:eastAsia="en-IN"/>
        </w:rPr>
      </w:pPr>
      <w:r w:rsidRPr="00F139D6">
        <w:rPr>
          <w:rFonts w:eastAsia="Times New Roman" w:cstheme="minorHAnsi"/>
          <w:b/>
          <w:bCs/>
          <w:szCs w:val="22"/>
          <w:lang w:eastAsia="en-IN"/>
        </w:rPr>
        <w:t xml:space="preserve">What is </w:t>
      </w:r>
      <w:r w:rsidR="00FE23C2" w:rsidRPr="00FE23C2">
        <w:rPr>
          <w:rFonts w:eastAsia="Times New Roman" w:cstheme="minorHAnsi"/>
          <w:b/>
          <w:bCs/>
          <w:szCs w:val="22"/>
          <w:lang w:eastAsia="en-IN"/>
        </w:rPr>
        <w:t>Portability</w:t>
      </w:r>
      <w:r w:rsidR="00FE23C2" w:rsidRPr="00FE23C2">
        <w:rPr>
          <w:rFonts w:eastAsia="Times New Roman" w:cstheme="minorHAnsi"/>
          <w:szCs w:val="22"/>
          <w:lang w:eastAsia="en-IN"/>
        </w:rPr>
        <w:t>:</w:t>
      </w:r>
      <w:r w:rsidRPr="00FE23C2">
        <w:rPr>
          <w:rFonts w:eastAsia="Times New Roman" w:cstheme="minorHAnsi"/>
          <w:szCs w:val="22"/>
          <w:lang w:eastAsia="en-IN"/>
        </w:rPr>
        <w:t xml:space="preserve"> </w:t>
      </w:r>
      <w:r w:rsidRPr="00F139D6">
        <w:rPr>
          <w:rFonts w:eastAsia="Times New Roman" w:cstheme="minorHAnsi"/>
          <w:szCs w:val="22"/>
          <w:lang w:eastAsia="en-IN"/>
        </w:rPr>
        <w:t>Portability allows you to transfer your entire health insurance policy (including all family members under a family cover) from your current insurer (</w:t>
      </w:r>
      <w:r w:rsidRPr="00F139D6">
        <w:rPr>
          <w:rFonts w:eastAsia="Times New Roman" w:cstheme="minorHAnsi"/>
          <w:b/>
          <w:bCs/>
          <w:szCs w:val="22"/>
          <w:lang w:eastAsia="en-IN"/>
        </w:rPr>
        <w:t>Existing Insurer</w:t>
      </w:r>
      <w:r w:rsidRPr="00F139D6">
        <w:rPr>
          <w:rFonts w:eastAsia="Times New Roman" w:cstheme="minorHAnsi"/>
          <w:szCs w:val="22"/>
          <w:lang w:eastAsia="en-IN"/>
        </w:rPr>
        <w:t>) to a new one (</w:t>
      </w:r>
      <w:r w:rsidRPr="00F139D6">
        <w:rPr>
          <w:rFonts w:eastAsia="Times New Roman" w:cstheme="minorHAnsi"/>
          <w:b/>
          <w:bCs/>
          <w:szCs w:val="22"/>
          <w:lang w:eastAsia="en-IN"/>
        </w:rPr>
        <w:t>Acquiring Insurer</w:t>
      </w:r>
      <w:r w:rsidRPr="00F139D6">
        <w:rPr>
          <w:rFonts w:eastAsia="Times New Roman" w:cstheme="minorHAnsi"/>
          <w:szCs w:val="22"/>
          <w:lang w:eastAsia="en-IN"/>
        </w:rPr>
        <w:t>).</w:t>
      </w:r>
    </w:p>
    <w:p w:rsidR="00253424" w:rsidRDefault="00F139D6" w:rsidP="00253424">
      <w:pPr>
        <w:jc w:val="both"/>
      </w:pPr>
      <w:r w:rsidRPr="00253424">
        <w:rPr>
          <w:rFonts w:eastAsia="Times New Roman" w:cstheme="minorHAnsi"/>
          <w:b/>
          <w:bCs/>
          <w:szCs w:val="22"/>
          <w:lang w:eastAsia="en-IN"/>
        </w:rPr>
        <w:t xml:space="preserve">Transfer of Benefits: </w:t>
      </w:r>
      <w:r w:rsidR="00253424">
        <w:t>By porting, the policyholder is entitled to transfer the credits gained</w:t>
      </w:r>
      <w:r w:rsidR="00C930FC">
        <w:t xml:space="preserve"> in the expiring policy from the Existing Insurer to the Acquiring Insurer. Following benefits can be ported to the Acquiring Insurer:</w:t>
      </w:r>
    </w:p>
    <w:p w:rsidR="00F139D6" w:rsidRDefault="00F139D6" w:rsidP="00253424">
      <w:pPr>
        <w:pStyle w:val="NoSpacing"/>
        <w:numPr>
          <w:ilvl w:val="0"/>
          <w:numId w:val="8"/>
        </w:numPr>
        <w:jc w:val="both"/>
        <w:rPr>
          <w:lang w:eastAsia="en-IN"/>
        </w:rPr>
      </w:pPr>
      <w:r w:rsidRPr="00FE23C2">
        <w:rPr>
          <w:lang w:eastAsia="en-IN"/>
        </w:rPr>
        <w:t>Sum Insured and accrued No Claim Bonus (NCB)</w:t>
      </w:r>
      <w:r w:rsidR="00C930FC">
        <w:rPr>
          <w:lang w:eastAsia="en-IN"/>
        </w:rPr>
        <w:t xml:space="preserve"> in the Expiring Policy.</w:t>
      </w:r>
    </w:p>
    <w:p w:rsidR="00F139D6" w:rsidRPr="00FE23C2" w:rsidRDefault="00F139D6" w:rsidP="00253424">
      <w:pPr>
        <w:pStyle w:val="NoSpacing"/>
        <w:numPr>
          <w:ilvl w:val="0"/>
          <w:numId w:val="8"/>
        </w:numPr>
        <w:jc w:val="both"/>
        <w:rPr>
          <w:lang w:eastAsia="en-IN"/>
        </w:rPr>
      </w:pPr>
      <w:r w:rsidRPr="00FE23C2">
        <w:rPr>
          <w:lang w:eastAsia="en-IN"/>
        </w:rPr>
        <w:t>Time already served for specific waiting periods and pre-existing diseases (PED).</w:t>
      </w:r>
    </w:p>
    <w:p w:rsidR="00FE23C2" w:rsidRPr="00FE23C2" w:rsidRDefault="00F139D6" w:rsidP="00253424">
      <w:pPr>
        <w:pStyle w:val="NoSpacing"/>
        <w:numPr>
          <w:ilvl w:val="0"/>
          <w:numId w:val="8"/>
        </w:numPr>
        <w:jc w:val="both"/>
        <w:rPr>
          <w:lang w:eastAsia="en-IN"/>
        </w:rPr>
      </w:pPr>
      <w:r w:rsidRPr="00FE23C2">
        <w:rPr>
          <w:lang w:eastAsia="en-IN"/>
        </w:rPr>
        <w:t>Completed moratorium periods (the time after which an insurer cannot look back and deny a claim based on non-disclosure).</w:t>
      </w:r>
    </w:p>
    <w:p w:rsidR="00F139D6" w:rsidRPr="00FE23C2" w:rsidRDefault="00F139D6" w:rsidP="00253424">
      <w:pPr>
        <w:spacing w:before="100" w:beforeAutospacing="1" w:after="100" w:afterAutospacing="1" w:line="240" w:lineRule="auto"/>
        <w:jc w:val="both"/>
        <w:rPr>
          <w:rFonts w:eastAsia="Times New Roman" w:cstheme="minorHAnsi"/>
          <w:szCs w:val="22"/>
          <w:lang w:eastAsia="en-IN"/>
        </w:rPr>
      </w:pPr>
      <w:r w:rsidRPr="00FE23C2">
        <w:rPr>
          <w:rFonts w:eastAsia="Times New Roman" w:cstheme="minorHAnsi"/>
          <w:b/>
          <w:bCs/>
          <w:szCs w:val="22"/>
          <w:lang w:eastAsia="en-IN"/>
        </w:rPr>
        <w:t>Portability Procedure</w:t>
      </w:r>
      <w:bookmarkStart w:id="0" w:name="_GoBack"/>
      <w:bookmarkEnd w:id="0"/>
      <w:r w:rsidRPr="00FE23C2">
        <w:rPr>
          <w:rFonts w:eastAsia="Times New Roman" w:cstheme="minorHAnsi"/>
          <w:b/>
          <w:bCs/>
          <w:szCs w:val="22"/>
          <w:lang w:eastAsia="en-IN"/>
        </w:rPr>
        <w:t xml:space="preserve">: </w:t>
      </w:r>
    </w:p>
    <w:p w:rsidR="00253424" w:rsidRPr="00253424" w:rsidRDefault="00253424" w:rsidP="00253424">
      <w:pPr>
        <w:pStyle w:val="ListParagraph"/>
        <w:numPr>
          <w:ilvl w:val="0"/>
          <w:numId w:val="5"/>
        </w:numPr>
        <w:spacing w:before="100" w:beforeAutospacing="1" w:after="100" w:afterAutospacing="1" w:line="240" w:lineRule="auto"/>
        <w:jc w:val="both"/>
        <w:rPr>
          <w:rFonts w:eastAsia="Times New Roman" w:cstheme="minorHAnsi"/>
          <w:szCs w:val="22"/>
          <w:lang w:eastAsia="en-IN"/>
        </w:rPr>
      </w:pPr>
      <w:r>
        <w:t>A policyholder desirous of porting his/her policy to another insurer shall apply to such insurer to port the entire policy along with all the members of the family, if any, at least 30 days before, but not earlier than 60 days from the due date for renewal.</w:t>
      </w:r>
    </w:p>
    <w:p w:rsidR="00253424" w:rsidRPr="00253424" w:rsidRDefault="00253424" w:rsidP="00253424">
      <w:pPr>
        <w:pStyle w:val="ListParagraph"/>
        <w:spacing w:before="100" w:beforeAutospacing="1" w:after="100" w:afterAutospacing="1" w:line="240" w:lineRule="auto"/>
        <w:ind w:left="360"/>
        <w:jc w:val="both"/>
        <w:rPr>
          <w:rFonts w:eastAsia="Times New Roman" w:cstheme="minorHAnsi"/>
          <w:szCs w:val="22"/>
          <w:lang w:eastAsia="en-IN"/>
        </w:rPr>
      </w:pPr>
      <w:r>
        <w:t>Insurers are free to consider proposal for portability even if the policyholder has approached within 15 days from the renewal date of the existing policy, but in all such cases acquiring insurer shall ensure that there is no break in policy.</w:t>
      </w:r>
    </w:p>
    <w:p w:rsidR="00253424" w:rsidRDefault="00253424" w:rsidP="00253424">
      <w:pPr>
        <w:pStyle w:val="ListParagraph"/>
        <w:numPr>
          <w:ilvl w:val="0"/>
          <w:numId w:val="5"/>
        </w:numPr>
        <w:jc w:val="both"/>
      </w:pPr>
      <w:r>
        <w:t>No charges shall be levied on the policyholder for porting-in or porting-out.</w:t>
      </w:r>
    </w:p>
    <w:p w:rsidR="00253424" w:rsidRPr="00FE23C2" w:rsidRDefault="00253424" w:rsidP="00253424">
      <w:pPr>
        <w:pStyle w:val="ListParagraph"/>
        <w:numPr>
          <w:ilvl w:val="0"/>
          <w:numId w:val="5"/>
        </w:numPr>
        <w:jc w:val="both"/>
        <w:rPr>
          <w:rFonts w:cstheme="minorHAnsi"/>
          <w:szCs w:val="22"/>
        </w:rPr>
      </w:pPr>
      <w:r>
        <w:rPr>
          <w:rFonts w:eastAsia="Times New Roman" w:cstheme="minorHAnsi"/>
          <w:szCs w:val="22"/>
          <w:lang w:eastAsia="en-IN"/>
        </w:rPr>
        <w:t xml:space="preserve">The Acquiring Insurer shall seek the insurance details from the existing insurer </w:t>
      </w:r>
      <w:r w:rsidRPr="00FE23C2">
        <w:rPr>
          <w:rFonts w:cstheme="minorHAnsi"/>
          <w:szCs w:val="22"/>
        </w:rPr>
        <w:t xml:space="preserve">through Insurance Information Bureau of India (IIB) https://iib.gov.in/ portal. </w:t>
      </w:r>
    </w:p>
    <w:p w:rsidR="00253424" w:rsidRDefault="00253424" w:rsidP="00253424">
      <w:pPr>
        <w:pStyle w:val="ListParagraph"/>
        <w:numPr>
          <w:ilvl w:val="0"/>
          <w:numId w:val="5"/>
        </w:numPr>
        <w:jc w:val="both"/>
      </w:pPr>
      <w:r>
        <w:t xml:space="preserve">The existing insurer shall provide the information sought by the Acquiring insurer immediately but not more than 72 hours of receipt of request through Insurance Information Bureau of India (IIB) https://iib.gov.in/ portal. </w:t>
      </w:r>
    </w:p>
    <w:p w:rsidR="00253424" w:rsidRDefault="00253424" w:rsidP="00253424">
      <w:pPr>
        <w:pStyle w:val="ListParagraph"/>
        <w:numPr>
          <w:ilvl w:val="0"/>
          <w:numId w:val="5"/>
        </w:numPr>
        <w:jc w:val="both"/>
      </w:pPr>
      <w:r>
        <w:t xml:space="preserve">The Acquiring insurer shall decide and communicate on the proposal at the earliest possible time but not more than 5 days of receipt of information from Existing insurer. </w:t>
      </w:r>
    </w:p>
    <w:p w:rsidR="00253424" w:rsidRDefault="00253424" w:rsidP="00253424">
      <w:pPr>
        <w:pStyle w:val="ListParagraph"/>
        <w:numPr>
          <w:ilvl w:val="0"/>
          <w:numId w:val="5"/>
        </w:numPr>
        <w:jc w:val="both"/>
      </w:pPr>
      <w:r>
        <w:t xml:space="preserve">The Acquiring and the Existing Insurers shall jointly, ensure that the entire underwriting details and claim history of the Policyholders are seamlessly transferred. </w:t>
      </w:r>
    </w:p>
    <w:p w:rsidR="00A349AD" w:rsidRPr="00FE23C2" w:rsidRDefault="00A349AD" w:rsidP="00253424">
      <w:pPr>
        <w:pStyle w:val="ListParagraph"/>
        <w:spacing w:after="0" w:line="240" w:lineRule="auto"/>
        <w:ind w:left="360"/>
        <w:jc w:val="both"/>
        <w:rPr>
          <w:rFonts w:cstheme="minorHAnsi"/>
          <w:szCs w:val="22"/>
        </w:rPr>
      </w:pPr>
    </w:p>
    <w:sectPr w:rsidR="00A349AD" w:rsidRPr="00FE2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B1553"/>
    <w:multiLevelType w:val="hybridMultilevel"/>
    <w:tmpl w:val="737A97F2"/>
    <w:lvl w:ilvl="0" w:tplc="D7F6B8FE">
      <w:start w:val="1"/>
      <w:numFmt w:val="lowerRoman"/>
      <w:lvlText w:val="%1."/>
      <w:lvlJc w:val="left"/>
      <w:pPr>
        <w:ind w:left="765" w:hanging="72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
    <w:nsid w:val="21B13E72"/>
    <w:multiLevelType w:val="multilevel"/>
    <w:tmpl w:val="A0D2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F242B"/>
    <w:multiLevelType w:val="hybridMultilevel"/>
    <w:tmpl w:val="44A82C1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40E5630F"/>
    <w:multiLevelType w:val="multilevel"/>
    <w:tmpl w:val="E800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D45DC6"/>
    <w:multiLevelType w:val="hybridMultilevel"/>
    <w:tmpl w:val="8B6ACFCE"/>
    <w:lvl w:ilvl="0" w:tplc="015A5A9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FB90B46"/>
    <w:multiLevelType w:val="hybridMultilevel"/>
    <w:tmpl w:val="737A97F2"/>
    <w:lvl w:ilvl="0" w:tplc="D7F6B8FE">
      <w:start w:val="1"/>
      <w:numFmt w:val="lowerRoman"/>
      <w:lvlText w:val="%1."/>
      <w:lvlJc w:val="left"/>
      <w:pPr>
        <w:ind w:left="765" w:hanging="72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6">
    <w:nsid w:val="64A86044"/>
    <w:multiLevelType w:val="hybridMultilevel"/>
    <w:tmpl w:val="72EC5D5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6F241076"/>
    <w:multiLevelType w:val="hybridMultilevel"/>
    <w:tmpl w:val="AC84B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A7"/>
    <w:rsid w:val="0002449E"/>
    <w:rsid w:val="00253424"/>
    <w:rsid w:val="003A53CE"/>
    <w:rsid w:val="003B63FE"/>
    <w:rsid w:val="00637E8F"/>
    <w:rsid w:val="00886429"/>
    <w:rsid w:val="008A78A7"/>
    <w:rsid w:val="008E6512"/>
    <w:rsid w:val="009163AC"/>
    <w:rsid w:val="00A349AD"/>
    <w:rsid w:val="00B67D3B"/>
    <w:rsid w:val="00C930FC"/>
    <w:rsid w:val="00D4376C"/>
    <w:rsid w:val="00F139D6"/>
    <w:rsid w:val="00FE23C2"/>
    <w:rsid w:val="00FE4DE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7AF30-BDC5-429C-8D23-770AABE6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2">
    <w:name w:val="heading 2"/>
    <w:basedOn w:val="Normal"/>
    <w:link w:val="Heading2Char"/>
    <w:uiPriority w:val="9"/>
    <w:qFormat/>
    <w:rsid w:val="00F139D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8A7"/>
    <w:pPr>
      <w:ind w:left="720"/>
      <w:contextualSpacing/>
    </w:pPr>
  </w:style>
  <w:style w:type="paragraph" w:styleId="BalloonText">
    <w:name w:val="Balloon Text"/>
    <w:basedOn w:val="Normal"/>
    <w:link w:val="BalloonTextChar"/>
    <w:uiPriority w:val="99"/>
    <w:semiHidden/>
    <w:unhideWhenUsed/>
    <w:rsid w:val="00B67D3B"/>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B67D3B"/>
    <w:rPr>
      <w:rFonts w:ascii="Segoe UI" w:hAnsi="Segoe UI" w:cs="Mangal"/>
      <w:sz w:val="18"/>
      <w:szCs w:val="16"/>
    </w:rPr>
  </w:style>
  <w:style w:type="character" w:customStyle="1" w:styleId="Heading2Char">
    <w:name w:val="Heading 2 Char"/>
    <w:basedOn w:val="DefaultParagraphFont"/>
    <w:link w:val="Heading2"/>
    <w:uiPriority w:val="9"/>
    <w:rsid w:val="00F139D6"/>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F139D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nly-show-to-message-actions">
    <w:name w:val="only-show-to-message-actions"/>
    <w:basedOn w:val="DefaultParagraphFont"/>
    <w:rsid w:val="00F139D6"/>
  </w:style>
  <w:style w:type="character" w:styleId="Strong">
    <w:name w:val="Strong"/>
    <w:basedOn w:val="DefaultParagraphFont"/>
    <w:uiPriority w:val="22"/>
    <w:qFormat/>
    <w:rsid w:val="00F139D6"/>
    <w:rPr>
      <w:b/>
      <w:bCs/>
    </w:rPr>
  </w:style>
  <w:style w:type="paragraph" w:customStyle="1" w:styleId="ng-star-inserted">
    <w:name w:val="ng-star-inserted"/>
    <w:basedOn w:val="Normal"/>
    <w:rsid w:val="00F139D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FE23C2"/>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91004">
      <w:bodyDiv w:val="1"/>
      <w:marLeft w:val="0"/>
      <w:marRight w:val="0"/>
      <w:marTop w:val="0"/>
      <w:marBottom w:val="0"/>
      <w:divBdr>
        <w:top w:val="none" w:sz="0" w:space="0" w:color="auto"/>
        <w:left w:val="none" w:sz="0" w:space="0" w:color="auto"/>
        <w:bottom w:val="none" w:sz="0" w:space="0" w:color="auto"/>
        <w:right w:val="none" w:sz="0" w:space="0" w:color="auto"/>
      </w:divBdr>
      <w:divsChild>
        <w:div w:id="54349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9065">
          <w:marLeft w:val="0"/>
          <w:marRight w:val="0"/>
          <w:marTop w:val="0"/>
          <w:marBottom w:val="0"/>
          <w:divBdr>
            <w:top w:val="none" w:sz="0" w:space="0" w:color="auto"/>
            <w:left w:val="none" w:sz="0" w:space="0" w:color="auto"/>
            <w:bottom w:val="none" w:sz="0" w:space="0" w:color="auto"/>
            <w:right w:val="none" w:sz="0" w:space="0" w:color="auto"/>
          </w:divBdr>
          <w:divsChild>
            <w:div w:id="997341075">
              <w:marLeft w:val="0"/>
              <w:marRight w:val="0"/>
              <w:marTop w:val="0"/>
              <w:marBottom w:val="0"/>
              <w:divBdr>
                <w:top w:val="none" w:sz="0" w:space="0" w:color="auto"/>
                <w:left w:val="none" w:sz="0" w:space="0" w:color="auto"/>
                <w:bottom w:val="none" w:sz="0" w:space="0" w:color="auto"/>
                <w:right w:val="none" w:sz="0" w:space="0" w:color="auto"/>
              </w:divBdr>
              <w:divsChild>
                <w:div w:id="832454133">
                  <w:marLeft w:val="0"/>
                  <w:marRight w:val="0"/>
                  <w:marTop w:val="0"/>
                  <w:marBottom w:val="0"/>
                  <w:divBdr>
                    <w:top w:val="none" w:sz="0" w:space="0" w:color="auto"/>
                    <w:left w:val="none" w:sz="0" w:space="0" w:color="auto"/>
                    <w:bottom w:val="none" w:sz="0" w:space="0" w:color="auto"/>
                    <w:right w:val="none" w:sz="0" w:space="0" w:color="auto"/>
                  </w:divBdr>
                  <w:divsChild>
                    <w:div w:id="322857362">
                      <w:marLeft w:val="0"/>
                      <w:marRight w:val="0"/>
                      <w:marTop w:val="0"/>
                      <w:marBottom w:val="0"/>
                      <w:divBdr>
                        <w:top w:val="none" w:sz="0" w:space="0" w:color="auto"/>
                        <w:left w:val="none" w:sz="0" w:space="0" w:color="auto"/>
                        <w:bottom w:val="none" w:sz="0" w:space="0" w:color="auto"/>
                        <w:right w:val="none" w:sz="0" w:space="0" w:color="auto"/>
                      </w:divBdr>
                      <w:divsChild>
                        <w:div w:id="9227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9859">
                  <w:marLeft w:val="0"/>
                  <w:marRight w:val="0"/>
                  <w:marTop w:val="0"/>
                  <w:marBottom w:val="0"/>
                  <w:divBdr>
                    <w:top w:val="none" w:sz="0" w:space="0" w:color="auto"/>
                    <w:left w:val="none" w:sz="0" w:space="0" w:color="auto"/>
                    <w:bottom w:val="none" w:sz="0" w:space="0" w:color="auto"/>
                    <w:right w:val="none" w:sz="0" w:space="0" w:color="auto"/>
                  </w:divBdr>
                  <w:divsChild>
                    <w:div w:id="1514683544">
                      <w:marLeft w:val="0"/>
                      <w:marRight w:val="0"/>
                      <w:marTop w:val="0"/>
                      <w:marBottom w:val="0"/>
                      <w:divBdr>
                        <w:top w:val="none" w:sz="0" w:space="0" w:color="auto"/>
                        <w:left w:val="none" w:sz="0" w:space="0" w:color="auto"/>
                        <w:bottom w:val="none" w:sz="0" w:space="0" w:color="auto"/>
                        <w:right w:val="none" w:sz="0" w:space="0" w:color="auto"/>
                      </w:divBdr>
                      <w:divsChild>
                        <w:div w:id="20511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5039">
                  <w:marLeft w:val="0"/>
                  <w:marRight w:val="0"/>
                  <w:marTop w:val="0"/>
                  <w:marBottom w:val="0"/>
                  <w:divBdr>
                    <w:top w:val="none" w:sz="0" w:space="0" w:color="auto"/>
                    <w:left w:val="none" w:sz="0" w:space="0" w:color="auto"/>
                    <w:bottom w:val="none" w:sz="0" w:space="0" w:color="auto"/>
                    <w:right w:val="none" w:sz="0" w:space="0" w:color="auto"/>
                  </w:divBdr>
                  <w:divsChild>
                    <w:div w:id="1721435416">
                      <w:marLeft w:val="0"/>
                      <w:marRight w:val="0"/>
                      <w:marTop w:val="0"/>
                      <w:marBottom w:val="0"/>
                      <w:divBdr>
                        <w:top w:val="none" w:sz="0" w:space="0" w:color="auto"/>
                        <w:left w:val="none" w:sz="0" w:space="0" w:color="auto"/>
                        <w:bottom w:val="none" w:sz="0" w:space="0" w:color="auto"/>
                        <w:right w:val="none" w:sz="0" w:space="0" w:color="auto"/>
                      </w:divBdr>
                      <w:divsChild>
                        <w:div w:id="18879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127">
                  <w:marLeft w:val="0"/>
                  <w:marRight w:val="0"/>
                  <w:marTop w:val="0"/>
                  <w:marBottom w:val="0"/>
                  <w:divBdr>
                    <w:top w:val="none" w:sz="0" w:space="0" w:color="auto"/>
                    <w:left w:val="none" w:sz="0" w:space="0" w:color="auto"/>
                    <w:bottom w:val="none" w:sz="0" w:space="0" w:color="auto"/>
                    <w:right w:val="none" w:sz="0" w:space="0" w:color="auto"/>
                  </w:divBdr>
                  <w:divsChild>
                    <w:div w:id="2056656158">
                      <w:marLeft w:val="0"/>
                      <w:marRight w:val="0"/>
                      <w:marTop w:val="0"/>
                      <w:marBottom w:val="0"/>
                      <w:divBdr>
                        <w:top w:val="none" w:sz="0" w:space="0" w:color="auto"/>
                        <w:left w:val="none" w:sz="0" w:space="0" w:color="auto"/>
                        <w:bottom w:val="none" w:sz="0" w:space="0" w:color="auto"/>
                        <w:right w:val="none" w:sz="0" w:space="0" w:color="auto"/>
                      </w:divBdr>
                      <w:divsChild>
                        <w:div w:id="16760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NISHIGANDHA SHILWANT</dc:creator>
  <cp:keywords/>
  <dc:description/>
  <cp:lastModifiedBy>MEERA ROY</cp:lastModifiedBy>
  <cp:revision>3</cp:revision>
  <cp:lastPrinted>2026-06-16T08:07:00Z</cp:lastPrinted>
  <dcterms:created xsi:type="dcterms:W3CDTF">2026-06-16T11:13:00Z</dcterms:created>
  <dcterms:modified xsi:type="dcterms:W3CDTF">2026-06-16T11:47:00Z</dcterms:modified>
</cp:coreProperties>
</file>